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926B3" w14:textId="1F27D9DB" w:rsidR="007F0002" w:rsidRPr="0049755C" w:rsidRDefault="007F0002" w:rsidP="007F0002">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#100</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Pr>
          <w:rFonts w:ascii="Arial" w:hAnsi="Arial" w:cs="Arial"/>
          <w:b/>
          <w:sz w:val="24"/>
          <w:lang w:val="en-GB"/>
        </w:rPr>
        <w:t>R3-18319</w:t>
      </w:r>
      <w:r>
        <w:rPr>
          <w:rFonts w:ascii="Arial" w:hAnsi="Arial" w:cs="Arial"/>
          <w:b/>
          <w:sz w:val="24"/>
          <w:lang w:val="en-GB"/>
        </w:rPr>
        <w:t>2</w:t>
      </w:r>
      <w:bookmarkStart w:id="2" w:name="_GoBack"/>
      <w:bookmarkEnd w:id="2"/>
    </w:p>
    <w:p w14:paraId="57673FA3" w14:textId="7B8E6A01" w:rsidR="00616831" w:rsidRPr="0049755C" w:rsidRDefault="007F0002" w:rsidP="007F0002">
      <w:pPr>
        <w:pStyle w:val="TdocHeader2"/>
        <w:tabs>
          <w:tab w:val="clear" w:pos="9072"/>
          <w:tab w:val="right" w:pos="9720"/>
        </w:tabs>
        <w:rPr>
          <w:rFonts w:eastAsia="Malgun Gothic" w:cs="Arial"/>
          <w:sz w:val="24"/>
          <w:lang w:val="en-US" w:eastAsia="ko-KR"/>
        </w:rPr>
      </w:pPr>
      <w:r w:rsidRPr="00A362D0">
        <w:rPr>
          <w:rFonts w:eastAsia="Malgun Gothic" w:cs="Arial"/>
          <w:sz w:val="24"/>
          <w:lang w:val="en-US" w:eastAsia="ko-KR"/>
        </w:rPr>
        <w:t>Busan, Korea, 21st - 25th May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63A6875E"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5A0001">
        <w:rPr>
          <w:sz w:val="24"/>
        </w:rPr>
        <w:t>IAB architecture for NSA based deployment</w:t>
      </w:r>
    </w:p>
    <w:p w14:paraId="08AD6C06" w14:textId="06A41D29"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r w:rsidR="005A0001">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B71D00">
      <w:pPr>
        <w:jc w:val="both"/>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B71D00">
      <w:pPr>
        <w:numPr>
          <w:ilvl w:val="0"/>
          <w:numId w:val="40"/>
        </w:numPr>
        <w:spacing w:after="0"/>
        <w:jc w:val="both"/>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B71D00">
      <w:pPr>
        <w:numPr>
          <w:ilvl w:val="0"/>
          <w:numId w:val="40"/>
        </w:numPr>
        <w:spacing w:after="0"/>
        <w:jc w:val="both"/>
        <w:rPr>
          <w:bCs/>
        </w:rPr>
      </w:pPr>
      <w:r>
        <w:rPr>
          <w:bCs/>
        </w:rPr>
        <w:t>M</w:t>
      </w:r>
      <w:r w:rsidRPr="00081E05">
        <w:rPr>
          <w:bCs/>
        </w:rPr>
        <w:t>ulti-hop and redundant connectivity</w:t>
      </w:r>
    </w:p>
    <w:p w14:paraId="23328B43" w14:textId="77777777" w:rsidR="00AA7B2F" w:rsidRDefault="00AA7B2F" w:rsidP="00B71D00">
      <w:pPr>
        <w:numPr>
          <w:ilvl w:val="0"/>
          <w:numId w:val="40"/>
        </w:numPr>
        <w:spacing w:after="0"/>
        <w:jc w:val="both"/>
        <w:rPr>
          <w:bCs/>
        </w:rPr>
      </w:pPr>
      <w:r>
        <w:rPr>
          <w:bCs/>
        </w:rPr>
        <w:t>End-to-end route selection and optimization</w:t>
      </w:r>
    </w:p>
    <w:p w14:paraId="6515559D" w14:textId="77777777" w:rsidR="00AA7B2F" w:rsidRDefault="00AA7B2F" w:rsidP="00B71D00">
      <w:pPr>
        <w:numPr>
          <w:ilvl w:val="0"/>
          <w:numId w:val="40"/>
        </w:numPr>
        <w:spacing w:after="0"/>
        <w:jc w:val="both"/>
        <w:rPr>
          <w:bCs/>
        </w:rPr>
      </w:pPr>
      <w:r>
        <w:rPr>
          <w:bCs/>
        </w:rPr>
        <w:t>Support of backhaul links with high spectral efficiency</w:t>
      </w:r>
    </w:p>
    <w:p w14:paraId="017D6EF8" w14:textId="2CE1AB28" w:rsidR="00AA7B2F" w:rsidRDefault="00AA7B2F" w:rsidP="00B71D00">
      <w:pPr>
        <w:numPr>
          <w:ilvl w:val="0"/>
          <w:numId w:val="40"/>
        </w:numPr>
        <w:spacing w:after="0"/>
        <w:jc w:val="both"/>
        <w:rPr>
          <w:bCs/>
        </w:rPr>
      </w:pPr>
      <w:r w:rsidRPr="00081E05">
        <w:rPr>
          <w:bCs/>
        </w:rPr>
        <w:t xml:space="preserve">Support of legacy </w:t>
      </w:r>
      <w:r>
        <w:rPr>
          <w:bCs/>
        </w:rPr>
        <w:t xml:space="preserve">NR </w:t>
      </w:r>
      <w:r w:rsidRPr="00081E05">
        <w:rPr>
          <w:bCs/>
        </w:rPr>
        <w:t>UEs</w:t>
      </w:r>
    </w:p>
    <w:p w14:paraId="686FE11D" w14:textId="77777777" w:rsidR="00F14D2B" w:rsidRDefault="00F14D2B" w:rsidP="00B71D00">
      <w:pPr>
        <w:spacing w:after="0"/>
        <w:ind w:left="720"/>
        <w:jc w:val="both"/>
        <w:rPr>
          <w:bCs/>
        </w:rPr>
      </w:pPr>
    </w:p>
    <w:p w14:paraId="0A7BAB2E" w14:textId="4562AD12"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p>
    <w:p w14:paraId="1FCEFBAF" w14:textId="77777777" w:rsidR="004364CC" w:rsidRDefault="004364CC" w:rsidP="00B71D00">
      <w:pPr>
        <w:spacing w:after="0"/>
        <w:jc w:val="both"/>
        <w:rPr>
          <w:lang w:val="en-GB"/>
        </w:rPr>
      </w:pPr>
    </w:p>
    <w:p w14:paraId="629A3B98" w14:textId="1009500E" w:rsidR="004364CC" w:rsidRDefault="004364CC" w:rsidP="00B71D00">
      <w:pPr>
        <w:spacing w:after="0"/>
        <w:jc w:val="both"/>
        <w:rPr>
          <w:lang w:val="en-GB"/>
        </w:rPr>
      </w:pPr>
      <w:r>
        <w:rPr>
          <w:lang w:val="en-GB"/>
        </w:rPr>
        <w:t>During RAN3#99 the following agreement was reached regarding options for further study:</w:t>
      </w:r>
    </w:p>
    <w:p w14:paraId="2D653E9A" w14:textId="77777777" w:rsidR="004364CC" w:rsidRDefault="004364CC" w:rsidP="00B71D00">
      <w:pPr>
        <w:spacing w:after="0"/>
        <w:jc w:val="both"/>
        <w:rPr>
          <w:lang w:val="en-GB"/>
        </w:rPr>
      </w:pPr>
    </w:p>
    <w:p w14:paraId="0731B49C" w14:textId="67EB13AB" w:rsidR="004364CC" w:rsidRPr="004364CC" w:rsidRDefault="004364CC" w:rsidP="004364CC">
      <w:pPr>
        <w:overflowPunct/>
        <w:autoSpaceDE/>
        <w:autoSpaceDN/>
        <w:adjustRightInd/>
        <w:spacing w:after="160" w:line="259" w:lineRule="auto"/>
        <w:ind w:left="720"/>
        <w:textAlignment w:val="auto"/>
        <w:rPr>
          <w:b/>
          <w:lang w:val="en-GB"/>
        </w:rPr>
      </w:pPr>
      <w:r w:rsidRPr="004364CC">
        <w:rPr>
          <w:b/>
          <w:lang w:val="en-GB"/>
        </w:rPr>
        <w:t>For IAB nodes, the following options are studied:</w:t>
      </w:r>
    </w:p>
    <w:p w14:paraId="18EA8770" w14:textId="77777777" w:rsidR="004364CC" w:rsidRPr="004364CC" w:rsidRDefault="004364CC" w:rsidP="004364CC">
      <w:pPr>
        <w:spacing w:after="0"/>
        <w:ind w:left="720"/>
        <w:jc w:val="both"/>
        <w:rPr>
          <w:b/>
          <w:lang w:val="en-GB"/>
        </w:rPr>
      </w:pPr>
      <w:r w:rsidRPr="004364CC">
        <w:rPr>
          <w:b/>
          <w:lang w:val="en-GB"/>
        </w:rPr>
        <w:t>Case 1 - Connection in Networks without NGC: The IAB nodes connects as a UE to EPC using EN-DC.</w:t>
      </w:r>
      <w:r w:rsidRPr="004364CC">
        <w:rPr>
          <w:b/>
          <w:lang w:val="en-GB"/>
        </w:rPr>
        <w:tab/>
        <w:t xml:space="preserve"> </w:t>
      </w:r>
    </w:p>
    <w:p w14:paraId="785A8117" w14:textId="77777777" w:rsidR="004364CC" w:rsidRPr="004364CC" w:rsidRDefault="004364CC" w:rsidP="004364CC">
      <w:pPr>
        <w:spacing w:after="0"/>
        <w:ind w:left="720"/>
        <w:jc w:val="both"/>
        <w:rPr>
          <w:b/>
          <w:lang w:val="en-GB"/>
        </w:rPr>
      </w:pPr>
      <w:r w:rsidRPr="004364CC">
        <w:rPr>
          <w:b/>
          <w:lang w:val="en-GB"/>
        </w:rPr>
        <w:t xml:space="preserve">(Note: It has already been agreed in RAN2 NR </w:t>
      </w:r>
      <w:proofErr w:type="spellStart"/>
      <w:r w:rsidRPr="004364CC">
        <w:rPr>
          <w:b/>
          <w:lang w:val="en-GB"/>
        </w:rPr>
        <w:t>AdHoc</w:t>
      </w:r>
      <w:proofErr w:type="spellEnd"/>
      <w:r w:rsidRPr="004364CC">
        <w:rPr>
          <w:b/>
          <w:lang w:val="en-GB"/>
        </w:rPr>
        <w:t xml:space="preserve"> 1801 that there is no backhauling over LTE)</w:t>
      </w:r>
    </w:p>
    <w:p w14:paraId="5A4F405E" w14:textId="77777777" w:rsidR="004364CC" w:rsidRPr="004364CC" w:rsidRDefault="004364CC" w:rsidP="004364CC">
      <w:pPr>
        <w:spacing w:after="0"/>
        <w:ind w:left="720"/>
        <w:jc w:val="both"/>
        <w:rPr>
          <w:b/>
          <w:lang w:val="en-GB"/>
        </w:rPr>
      </w:pPr>
    </w:p>
    <w:p w14:paraId="43175268" w14:textId="77777777" w:rsidR="004364CC" w:rsidRPr="004364CC" w:rsidRDefault="004364CC" w:rsidP="004364CC">
      <w:pPr>
        <w:spacing w:after="0"/>
        <w:ind w:left="720"/>
        <w:jc w:val="both"/>
        <w:rPr>
          <w:b/>
          <w:lang w:val="en-GB"/>
        </w:rPr>
      </w:pPr>
      <w:r w:rsidRPr="004364CC">
        <w:rPr>
          <w:b/>
          <w:lang w:val="en-GB"/>
        </w:rPr>
        <w:t>Case 2 – Connection in Networks with NGC: IAB nodes connect as a UE to NGC using NR</w:t>
      </w:r>
    </w:p>
    <w:p w14:paraId="70C12DC7" w14:textId="77777777" w:rsidR="004364CC" w:rsidRPr="004364CC" w:rsidRDefault="004364CC" w:rsidP="004364CC">
      <w:pPr>
        <w:spacing w:after="0"/>
        <w:ind w:left="720"/>
        <w:jc w:val="both"/>
        <w:rPr>
          <w:b/>
          <w:lang w:val="en-GB"/>
        </w:rPr>
      </w:pPr>
      <w:r w:rsidRPr="004364CC">
        <w:rPr>
          <w:b/>
          <w:lang w:val="en-GB"/>
        </w:rPr>
        <w:t>(Note: This can also be used when access UEs support option 3/3X)</w:t>
      </w:r>
    </w:p>
    <w:p w14:paraId="0083C5FE" w14:textId="77777777" w:rsidR="004364CC" w:rsidRPr="004364CC" w:rsidRDefault="004364CC" w:rsidP="004364CC">
      <w:pPr>
        <w:spacing w:after="0"/>
        <w:ind w:left="720"/>
        <w:jc w:val="both"/>
        <w:rPr>
          <w:b/>
          <w:lang w:val="en-GB"/>
        </w:rPr>
      </w:pPr>
    </w:p>
    <w:p w14:paraId="48109EA8" w14:textId="3E062EDE" w:rsidR="004364CC" w:rsidRPr="004364CC" w:rsidRDefault="004364CC" w:rsidP="004364CC">
      <w:pPr>
        <w:spacing w:after="0"/>
        <w:ind w:left="720"/>
        <w:jc w:val="both"/>
        <w:rPr>
          <w:b/>
          <w:lang w:val="en-GB"/>
        </w:rPr>
      </w:pPr>
      <w:r w:rsidRPr="004364CC">
        <w:rPr>
          <w:b/>
          <w:lang w:val="en-GB"/>
        </w:rPr>
        <w:t>Note: Details of IAB node setup procedures under the two core network cases are FFS.</w:t>
      </w:r>
    </w:p>
    <w:p w14:paraId="75966F91" w14:textId="77777777" w:rsidR="00B71D00" w:rsidRPr="00F14D2B" w:rsidRDefault="00B71D00" w:rsidP="00B71D00">
      <w:pPr>
        <w:spacing w:after="0"/>
        <w:jc w:val="both"/>
        <w:rPr>
          <w:bCs/>
        </w:rPr>
      </w:pPr>
    </w:p>
    <w:p w14:paraId="7AEF2C38" w14:textId="16AF3504" w:rsidR="006F1AB8" w:rsidRDefault="00896663" w:rsidP="00B71D00">
      <w:pPr>
        <w:jc w:val="both"/>
        <w:rPr>
          <w:lang w:val="en-GB"/>
        </w:rPr>
      </w:pPr>
      <w:r>
        <w:rPr>
          <w:lang w:val="en-GB"/>
        </w:rPr>
        <w:t xml:space="preserve">This contribution discusses </w:t>
      </w:r>
      <w:r w:rsidR="00A46FFC">
        <w:rPr>
          <w:lang w:val="en-GB"/>
        </w:rPr>
        <w:t>operation of IAB in standalone (SA) and non-standalone (NSA) deployments</w:t>
      </w:r>
      <w:r w:rsidR="00FC2F10">
        <w:rPr>
          <w:lang w:val="en-GB"/>
        </w:rPr>
        <w:t>.</w:t>
      </w:r>
    </w:p>
    <w:p w14:paraId="3910AB39" w14:textId="4E42998B" w:rsidR="006F1AB8" w:rsidRDefault="00DD051F" w:rsidP="00C26A7D">
      <w:pPr>
        <w:pStyle w:val="Heading1"/>
      </w:pPr>
      <w:r>
        <w:lastRenderedPageBreak/>
        <w:t>NSA based IAB deployments</w:t>
      </w:r>
    </w:p>
    <w:p w14:paraId="4F7A1FCE" w14:textId="5C5A7B33" w:rsidR="00A16A36" w:rsidRDefault="00A16A36" w:rsidP="00A16A36">
      <w:pPr>
        <w:jc w:val="both"/>
        <w:rPr>
          <w:lang w:val="en-GB"/>
        </w:rPr>
      </w:pPr>
      <w:r>
        <w:rPr>
          <w:lang w:val="en-GB"/>
        </w:rPr>
        <w:t xml:space="preserve">If the designed IAB solution has very significant core network dependencies, this would put an operator’s IAB deployment at significant risk when migrating the core network from EPC to NGC after deployment of IAB. Furthermore, if the designed IAB solution has very significant core network dependencies, 3GPP would need to develop different solutions that work with EPC vs. NGC. In this case, there may be significant impacts to EPC specifications as well. Hence, IAB solutions with significant core network dependencies have the potential to cause significant complications for an operator and for standardization, </w:t>
      </w:r>
      <w:r w:rsidR="00B71D00">
        <w:rPr>
          <w:lang w:val="en-GB"/>
        </w:rPr>
        <w:t xml:space="preserve">as a result the IAB SI TR [2] has captured as a requirement that </w:t>
      </w:r>
      <w:r>
        <w:rPr>
          <w:lang w:val="en-GB"/>
        </w:rPr>
        <w:t xml:space="preserve">the designed IAB solution should </w:t>
      </w:r>
      <w:r w:rsidR="00B71D00">
        <w:rPr>
          <w:lang w:val="en-GB"/>
        </w:rPr>
        <w:t xml:space="preserve">strive to </w:t>
      </w:r>
      <w:r>
        <w:rPr>
          <w:lang w:val="en-GB"/>
        </w:rPr>
        <w:t>have minimal core network dependencies and specification im</w:t>
      </w:r>
      <w:r w:rsidR="00B71D00">
        <w:rPr>
          <w:lang w:val="en-GB"/>
        </w:rPr>
        <w:t>pact:</w:t>
      </w:r>
    </w:p>
    <w:p w14:paraId="273AFD17" w14:textId="77777777" w:rsidR="00B71D00" w:rsidRPr="00B71D00" w:rsidRDefault="00B71D00" w:rsidP="00B71D00">
      <w:pPr>
        <w:jc w:val="both"/>
        <w:rPr>
          <w:lang w:val="en-GB"/>
        </w:rPr>
      </w:pPr>
      <w:r w:rsidRPr="00B71D00">
        <w:rPr>
          <w:lang w:val="en-GB"/>
        </w:rPr>
        <w:t>Requirements:</w:t>
      </w:r>
    </w:p>
    <w:p w14:paraId="1D0C2097" w14:textId="77777777" w:rsidR="00B71D00" w:rsidRPr="00B71D00" w:rsidRDefault="00B71D00" w:rsidP="00B71D00">
      <w:pPr>
        <w:jc w:val="both"/>
        <w:rPr>
          <w:lang w:val="en-GB"/>
        </w:rPr>
      </w:pPr>
      <w:r w:rsidRPr="00B71D00">
        <w:rPr>
          <w:lang w:val="en-GB"/>
        </w:rPr>
        <w:t>1:</w:t>
      </w:r>
      <w:r w:rsidRPr="00B71D00">
        <w:rPr>
          <w:lang w:val="en-GB"/>
        </w:rPr>
        <w:tab/>
        <w:t>The IAB design shall strive to minimize the impact to core network specifications.</w:t>
      </w:r>
    </w:p>
    <w:p w14:paraId="1DF9AD56" w14:textId="754B1466" w:rsidR="00B71D00" w:rsidRDefault="00B71D00" w:rsidP="00B71D00">
      <w:pPr>
        <w:jc w:val="both"/>
        <w:rPr>
          <w:lang w:val="en-GB"/>
        </w:rPr>
      </w:pPr>
      <w:r w:rsidRPr="00B71D00">
        <w:rPr>
          <w:lang w:val="en-GB"/>
        </w:rPr>
        <w:t>2:</w:t>
      </w:r>
      <w:r w:rsidRPr="00B71D00">
        <w:rPr>
          <w:lang w:val="en-GB"/>
        </w:rPr>
        <w:tab/>
        <w:t>The study should consider the impact to the core network signalling load as an important KPI.</w:t>
      </w:r>
    </w:p>
    <w:p w14:paraId="0CA2B4E9" w14:textId="0830ABFC" w:rsidR="00B71D00" w:rsidRPr="000C6561" w:rsidRDefault="00B71D00" w:rsidP="00387632">
      <w:pPr>
        <w:jc w:val="both"/>
        <w:rPr>
          <w:szCs w:val="22"/>
        </w:rPr>
      </w:pPr>
      <w:r>
        <w:rPr>
          <w:szCs w:val="22"/>
        </w:rPr>
        <w:t xml:space="preserve">In addition to the requirement for IAB to support both NSA and SA deployments, 3GPP </w:t>
      </w:r>
      <w:r w:rsidRPr="0010293E">
        <w:rPr>
          <w:szCs w:val="22"/>
        </w:rPr>
        <w:t>NR</w:t>
      </w:r>
      <w:r>
        <w:rPr>
          <w:szCs w:val="22"/>
        </w:rPr>
        <w:t>-based 5G</w:t>
      </w:r>
      <w:r w:rsidRPr="0010293E">
        <w:rPr>
          <w:szCs w:val="22"/>
        </w:rPr>
        <w:t xml:space="preserve"> mobile networks will be deployed using a split RAN protocol architecture such that</w:t>
      </w:r>
      <w:r>
        <w:rPr>
          <w:szCs w:val="22"/>
        </w:rPr>
        <w:t xml:space="preserve"> on the user plane the </w:t>
      </w:r>
      <w:r w:rsidRPr="0010293E">
        <w:rPr>
          <w:szCs w:val="22"/>
        </w:rPr>
        <w:t>PDCP sublayers reside at a centralized unit (CU), while the RLC, MAC, and PHY layers reside at the distributed unit (DU)</w:t>
      </w:r>
      <w:r>
        <w:rPr>
          <w:szCs w:val="22"/>
        </w:rPr>
        <w:t xml:space="preserve"> [3]</w:t>
      </w:r>
      <w:r w:rsidRPr="0010293E">
        <w:rPr>
          <w:szCs w:val="22"/>
        </w:rPr>
        <w:t xml:space="preserve">. User plane data is carried on Data Radio Bearers (DRBs) that traverse the above described user plane RAN protocol architecture. On the control plane, </w:t>
      </w:r>
      <w:r w:rsidR="007F188C">
        <w:rPr>
          <w:szCs w:val="22"/>
        </w:rPr>
        <w:t>s</w:t>
      </w:r>
      <w:r w:rsidR="0078745F">
        <w:rPr>
          <w:szCs w:val="22"/>
        </w:rPr>
        <w:t>ignaling</w:t>
      </w:r>
      <w:r w:rsidRPr="0010293E">
        <w:rPr>
          <w:szCs w:val="22"/>
        </w:rPr>
        <w:t xml:space="preserve"> radio bearers (SRBs) are set up that carry control messages from the RRC </w:t>
      </w:r>
      <w:r>
        <w:rPr>
          <w:szCs w:val="22"/>
        </w:rPr>
        <w:t xml:space="preserve">layer also utilize the </w:t>
      </w:r>
      <w:r w:rsidRPr="0010293E">
        <w:rPr>
          <w:szCs w:val="22"/>
        </w:rPr>
        <w:t xml:space="preserve">PDCP </w:t>
      </w:r>
      <w:r>
        <w:rPr>
          <w:szCs w:val="22"/>
        </w:rPr>
        <w:t xml:space="preserve">layer </w:t>
      </w:r>
      <w:r w:rsidRPr="0010293E">
        <w:rPr>
          <w:szCs w:val="22"/>
        </w:rPr>
        <w:t xml:space="preserve">at the CU, and </w:t>
      </w:r>
      <w:r>
        <w:rPr>
          <w:szCs w:val="22"/>
        </w:rPr>
        <w:t xml:space="preserve">are </w:t>
      </w:r>
      <w:r w:rsidRPr="0010293E">
        <w:rPr>
          <w:szCs w:val="22"/>
        </w:rPr>
        <w:t xml:space="preserve">further </w:t>
      </w:r>
      <w:r>
        <w:rPr>
          <w:szCs w:val="22"/>
        </w:rPr>
        <w:t xml:space="preserve">carried </w:t>
      </w:r>
      <w:r w:rsidRPr="0010293E">
        <w:rPr>
          <w:szCs w:val="22"/>
        </w:rPr>
        <w:t>down t</w:t>
      </w:r>
      <w:r>
        <w:rPr>
          <w:szCs w:val="22"/>
        </w:rPr>
        <w:t>hrough</w:t>
      </w:r>
      <w:r w:rsidRPr="0010293E">
        <w:rPr>
          <w:szCs w:val="22"/>
        </w:rPr>
        <w:t xml:space="preserve"> the RLC, MAC, and PHY </w:t>
      </w:r>
      <w:r>
        <w:rPr>
          <w:szCs w:val="22"/>
        </w:rPr>
        <w:t xml:space="preserve">layers </w:t>
      </w:r>
      <w:r w:rsidRPr="0010293E">
        <w:rPr>
          <w:szCs w:val="22"/>
        </w:rPr>
        <w:t>at the DU</w:t>
      </w:r>
      <w:r>
        <w:rPr>
          <w:szCs w:val="22"/>
        </w:rPr>
        <w:t xml:space="preserve"> to be delivered to the UE over the air interface</w:t>
      </w:r>
      <w:r w:rsidRPr="0010293E">
        <w:rPr>
          <w:szCs w:val="22"/>
        </w:rPr>
        <w:t>.</w:t>
      </w:r>
      <w:r>
        <w:rPr>
          <w:szCs w:val="22"/>
        </w:rPr>
        <w:t xml:space="preserve"> </w:t>
      </w:r>
      <w:r w:rsidRPr="000C6561">
        <w:rPr>
          <w:szCs w:val="22"/>
        </w:rPr>
        <w:t xml:space="preserve">An example of a network with such </w:t>
      </w:r>
      <w:r>
        <w:rPr>
          <w:szCs w:val="22"/>
        </w:rPr>
        <w:t xml:space="preserve">IAB link </w:t>
      </w:r>
      <w:r w:rsidRPr="000C6561">
        <w:rPr>
          <w:szCs w:val="22"/>
        </w:rPr>
        <w:t>links is shown in Fi</w:t>
      </w:r>
      <w:r>
        <w:rPr>
          <w:szCs w:val="22"/>
        </w:rPr>
        <w:t>gure 2, where the relay node (Relay DU</w:t>
      </w:r>
      <w:r w:rsidRPr="000C6561">
        <w:rPr>
          <w:szCs w:val="22"/>
        </w:rPr>
        <w:t>) can multiplex access and backhaul links in time, frequency, or space (e.g. beam-based operation).</w:t>
      </w:r>
    </w:p>
    <w:p w14:paraId="5903044B" w14:textId="77777777" w:rsidR="00B71D00" w:rsidRDefault="00B71D00" w:rsidP="00B71D00">
      <w:pPr>
        <w:spacing w:before="60" w:after="60" w:line="288" w:lineRule="auto"/>
        <w:jc w:val="center"/>
        <w:rPr>
          <w:rFonts w:ascii="Times New Roman" w:eastAsia="Malgun Gothic" w:hAnsi="Times New Roman" w:cs="Batang"/>
          <w:b/>
          <w:lang w:eastAsia="ko-KR"/>
        </w:rPr>
      </w:pPr>
      <w:r>
        <w:rPr>
          <w:rFonts w:ascii="Times New Roman" w:eastAsia="Malgun Gothic" w:hAnsi="Times New Roman" w:cs="Batang"/>
          <w:b/>
          <w:noProof/>
        </w:rPr>
        <w:drawing>
          <wp:inline distT="0" distB="0" distL="0" distR="0" wp14:anchorId="5661F075" wp14:editId="137D6FBA">
            <wp:extent cx="5751049" cy="1714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0401" cy="1726232"/>
                    </a:xfrm>
                    <a:prstGeom prst="rect">
                      <a:avLst/>
                    </a:prstGeom>
                    <a:noFill/>
                  </pic:spPr>
                </pic:pic>
              </a:graphicData>
            </a:graphic>
          </wp:inline>
        </w:drawing>
      </w:r>
    </w:p>
    <w:p w14:paraId="63C88D2E" w14:textId="15EC0B65" w:rsidR="00B71D00" w:rsidRPr="000C6561" w:rsidRDefault="00B71D00" w:rsidP="00B71D00">
      <w:pPr>
        <w:jc w:val="center"/>
        <w:rPr>
          <w:b/>
          <w:szCs w:val="22"/>
        </w:rPr>
      </w:pPr>
      <w:r>
        <w:rPr>
          <w:b/>
          <w:szCs w:val="22"/>
        </w:rPr>
        <w:t>Figure 2</w:t>
      </w:r>
      <w:r w:rsidRPr="000C6561">
        <w:rPr>
          <w:b/>
          <w:szCs w:val="22"/>
        </w:rPr>
        <w:t xml:space="preserve">: </w:t>
      </w:r>
      <w:r w:rsidR="008E0B51">
        <w:rPr>
          <w:b/>
          <w:szCs w:val="22"/>
        </w:rPr>
        <w:t>IAB operation under</w:t>
      </w:r>
      <w:r>
        <w:rPr>
          <w:b/>
          <w:szCs w:val="22"/>
        </w:rPr>
        <w:t xml:space="preserve"> in a SA deployment</w:t>
      </w:r>
    </w:p>
    <w:p w14:paraId="00169417" w14:textId="7B59461F" w:rsidR="00B71D00" w:rsidRDefault="008E0B51" w:rsidP="008E0B51">
      <w:pPr>
        <w:jc w:val="both"/>
        <w:rPr>
          <w:szCs w:val="22"/>
        </w:rPr>
      </w:pPr>
      <w:r>
        <w:rPr>
          <w:szCs w:val="22"/>
        </w:rPr>
        <w:t xml:space="preserve">The IAB deployment in </w:t>
      </w:r>
      <w:r w:rsidR="00B71D00">
        <w:rPr>
          <w:szCs w:val="22"/>
        </w:rPr>
        <w:t>Figure 2 i</w:t>
      </w:r>
      <w:r>
        <w:rPr>
          <w:szCs w:val="22"/>
        </w:rPr>
        <w:t xml:space="preserve">llustrates </w:t>
      </w:r>
      <w:r w:rsidR="00B71D00">
        <w:rPr>
          <w:szCs w:val="22"/>
        </w:rPr>
        <w:t xml:space="preserve">a </w:t>
      </w:r>
      <w:r>
        <w:rPr>
          <w:szCs w:val="22"/>
        </w:rPr>
        <w:t>SA deployment of IAB</w:t>
      </w:r>
      <w:r w:rsidR="00B71D00">
        <w:rPr>
          <w:szCs w:val="22"/>
        </w:rPr>
        <w:t xml:space="preserve"> where the access U</w:t>
      </w:r>
      <w:r w:rsidR="007F188C">
        <w:rPr>
          <w:szCs w:val="22"/>
        </w:rPr>
        <w:t>E</w:t>
      </w:r>
      <w:r w:rsidR="00B71D00">
        <w:rPr>
          <w:szCs w:val="22"/>
        </w:rPr>
        <w:t xml:space="preserve">s and </w:t>
      </w:r>
      <w:r w:rsidR="00695014">
        <w:rPr>
          <w:szCs w:val="22"/>
        </w:rPr>
        <w:t xml:space="preserve">IAB </w:t>
      </w:r>
      <w:r w:rsidR="00B71D00">
        <w:rPr>
          <w:szCs w:val="22"/>
        </w:rPr>
        <w:t>D</w:t>
      </w:r>
      <w:r w:rsidR="007F188C">
        <w:rPr>
          <w:szCs w:val="22"/>
        </w:rPr>
        <w:t>U</w:t>
      </w:r>
      <w:r w:rsidR="00B71D00">
        <w:rPr>
          <w:szCs w:val="22"/>
        </w:rPr>
        <w:t>s receive both</w:t>
      </w:r>
      <w:r>
        <w:rPr>
          <w:szCs w:val="22"/>
        </w:rPr>
        <w:t xml:space="preserve"> control and data bearers on NR. However</w:t>
      </w:r>
      <w:r w:rsidR="00B71D00">
        <w:rPr>
          <w:szCs w:val="22"/>
        </w:rPr>
        <w:t xml:space="preserve"> it is also possible to support IAB operation </w:t>
      </w:r>
      <w:r>
        <w:rPr>
          <w:szCs w:val="22"/>
        </w:rPr>
        <w:t>(U</w:t>
      </w:r>
      <w:r w:rsidR="007F188C">
        <w:rPr>
          <w:szCs w:val="22"/>
        </w:rPr>
        <w:t>E</w:t>
      </w:r>
      <w:r>
        <w:rPr>
          <w:szCs w:val="22"/>
        </w:rPr>
        <w:t>s and IAB nodes)</w:t>
      </w:r>
      <w:r w:rsidR="00374551">
        <w:rPr>
          <w:szCs w:val="22"/>
        </w:rPr>
        <w:t xml:space="preserve"> under a NSA architecture as shown in Figure 3</w:t>
      </w:r>
      <w:r w:rsidR="00695014">
        <w:rPr>
          <w:szCs w:val="22"/>
        </w:rPr>
        <w:t>, where the control plane</w:t>
      </w:r>
      <w:r w:rsidR="00374551">
        <w:rPr>
          <w:szCs w:val="22"/>
        </w:rPr>
        <w:t xml:space="preserve"> </w:t>
      </w:r>
      <w:r w:rsidR="007F188C">
        <w:rPr>
          <w:szCs w:val="22"/>
        </w:rPr>
        <w:t>s</w:t>
      </w:r>
      <w:r w:rsidR="0078745F">
        <w:rPr>
          <w:szCs w:val="22"/>
        </w:rPr>
        <w:t>ignaling</w:t>
      </w:r>
      <w:r w:rsidR="00695014">
        <w:rPr>
          <w:szCs w:val="22"/>
        </w:rPr>
        <w:t xml:space="preserve"> for both access U</w:t>
      </w:r>
      <w:r w:rsidR="007F188C">
        <w:rPr>
          <w:szCs w:val="22"/>
        </w:rPr>
        <w:t>E</w:t>
      </w:r>
      <w:r w:rsidR="00695014">
        <w:rPr>
          <w:szCs w:val="22"/>
        </w:rPr>
        <w:t>s and IAB</w:t>
      </w:r>
      <w:r w:rsidR="00374551">
        <w:rPr>
          <w:szCs w:val="22"/>
        </w:rPr>
        <w:t xml:space="preserve"> </w:t>
      </w:r>
      <w:r w:rsidR="007A7E45">
        <w:rPr>
          <w:szCs w:val="22"/>
        </w:rPr>
        <w:t xml:space="preserve">nodes </w:t>
      </w:r>
      <w:r w:rsidR="00374551">
        <w:rPr>
          <w:szCs w:val="22"/>
        </w:rPr>
        <w:t>are provided over LTE</w:t>
      </w:r>
      <w:r w:rsidR="00B71D00">
        <w:rPr>
          <w:szCs w:val="22"/>
        </w:rPr>
        <w:t>.</w:t>
      </w:r>
    </w:p>
    <w:p w14:paraId="7E5B43FD" w14:textId="77777777" w:rsidR="00B71D00" w:rsidRDefault="00B71D00" w:rsidP="00B71D00">
      <w:pPr>
        <w:jc w:val="center"/>
        <w:rPr>
          <w:szCs w:val="22"/>
        </w:rPr>
      </w:pPr>
      <w:r w:rsidRPr="00A33C8C">
        <w:rPr>
          <w:noProof/>
          <w:szCs w:val="22"/>
        </w:rPr>
        <w:lastRenderedPageBreak/>
        <w:drawing>
          <wp:inline distT="0" distB="0" distL="0" distR="0" wp14:anchorId="2ADBB396" wp14:editId="713776E6">
            <wp:extent cx="3343275" cy="4431995"/>
            <wp:effectExtent l="0" t="0" r="0" b="0"/>
            <wp:docPr id="3" name="Picture 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F38DA08-4844-486B-9C35-7EC824E83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F38DA08-4844-486B-9C35-7EC824E8346A}"/>
                        </a:ext>
                      </a:extLst>
                    </pic:cNvPr>
                    <pic:cNvPicPr>
                      <a:picLocks noChangeAspect="1"/>
                    </pic:cNvPicPr>
                  </pic:nvPicPr>
                  <pic:blipFill>
                    <a:blip r:embed="rId9"/>
                    <a:stretch>
                      <a:fillRect/>
                    </a:stretch>
                  </pic:blipFill>
                  <pic:spPr>
                    <a:xfrm>
                      <a:off x="0" y="0"/>
                      <a:ext cx="3382917" cy="4484546"/>
                    </a:xfrm>
                    <a:prstGeom prst="rect">
                      <a:avLst/>
                    </a:prstGeom>
                  </pic:spPr>
                </pic:pic>
              </a:graphicData>
            </a:graphic>
          </wp:inline>
        </w:drawing>
      </w:r>
    </w:p>
    <w:p w14:paraId="0E4C3F78" w14:textId="60D25095" w:rsidR="00B71D00" w:rsidRDefault="00B71D00" w:rsidP="00B71D00">
      <w:pPr>
        <w:jc w:val="center"/>
        <w:rPr>
          <w:b/>
          <w:szCs w:val="22"/>
        </w:rPr>
      </w:pPr>
      <w:r w:rsidRPr="00BD5910">
        <w:rPr>
          <w:b/>
          <w:szCs w:val="22"/>
        </w:rPr>
        <w:t xml:space="preserve">Figure 3: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in a NSA deployment</w:t>
      </w:r>
    </w:p>
    <w:p w14:paraId="27FCF5B6" w14:textId="77777777" w:rsidR="000E1C7E" w:rsidRDefault="000E1C7E" w:rsidP="000E1C7E">
      <w:pPr>
        <w:jc w:val="both"/>
        <w:rPr>
          <w:b/>
          <w:szCs w:val="22"/>
        </w:rPr>
      </w:pPr>
    </w:p>
    <w:p w14:paraId="41FE7C22" w14:textId="08BDCD85" w:rsidR="00D156FD" w:rsidRDefault="00DD051F" w:rsidP="00E725D9">
      <w:pPr>
        <w:pStyle w:val="maintext"/>
        <w:ind w:firstLineChars="0" w:firstLine="0"/>
        <w:rPr>
          <w:rFonts w:ascii="Calibri" w:hAnsi="Calibri"/>
        </w:rPr>
      </w:pPr>
      <w:r>
        <w:rPr>
          <w:rFonts w:ascii="Calibri" w:hAnsi="Calibri"/>
        </w:rPr>
        <w:t>The following</w:t>
      </w:r>
      <w:r w:rsidR="00D76B79">
        <w:rPr>
          <w:rFonts w:ascii="Calibri" w:hAnsi="Calibri"/>
        </w:rPr>
        <w:t xml:space="preserve"> </w:t>
      </w:r>
      <w:r w:rsidR="002B5FD7">
        <w:rPr>
          <w:rFonts w:ascii="Calibri" w:hAnsi="Calibri"/>
        </w:rPr>
        <w:t>section</w:t>
      </w:r>
      <w:r>
        <w:rPr>
          <w:rFonts w:ascii="Calibri" w:hAnsi="Calibri"/>
        </w:rPr>
        <w:t>s</w:t>
      </w:r>
      <w:r w:rsidR="00D76B79">
        <w:rPr>
          <w:rFonts w:ascii="Calibri" w:hAnsi="Calibri"/>
        </w:rPr>
        <w:t xml:space="preserve"> discuss various benefits of NSA support for IAB nodes.</w:t>
      </w:r>
    </w:p>
    <w:p w14:paraId="0F5F0385" w14:textId="42CEF919" w:rsidR="00D76B79" w:rsidRPr="00D71D00" w:rsidRDefault="00D76B79" w:rsidP="00D76B79">
      <w:pPr>
        <w:pStyle w:val="Heading2"/>
      </w:pPr>
      <w:r w:rsidRPr="00D71D00">
        <w:t xml:space="preserve">Initial Access and Relay </w:t>
      </w:r>
      <w:r w:rsidR="00BE0064">
        <w:t>Configuration</w:t>
      </w:r>
    </w:p>
    <w:p w14:paraId="4B16B352" w14:textId="77777777" w:rsidR="00D76B79" w:rsidRPr="00D71D00" w:rsidRDefault="00D76B79" w:rsidP="00D76B79">
      <w:pPr>
        <w:jc w:val="both"/>
        <w:rPr>
          <w:szCs w:val="22"/>
        </w:rPr>
      </w:pPr>
      <w:r w:rsidRPr="00D71D00">
        <w:rPr>
          <w:szCs w:val="22"/>
        </w:rPr>
        <w:t>Under NSA operation, access UEs are connected to the network by performing initial access procedures (e.g. synchronization signal detection and random access procedure) via LTE and then are able to access one or more NR cells via dual connectivity procedures such as secondary node addition.</w:t>
      </w:r>
    </w:p>
    <w:p w14:paraId="33F91F03" w14:textId="13F13BDF"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an NSA architecture, initial access and mobility are provided by the </w:t>
      </w:r>
      <w:r w:rsidR="00BE0064">
        <w:rPr>
          <w:szCs w:val="22"/>
        </w:rPr>
        <w:t>LTE MCG in case of EN-DC</w:t>
      </w:r>
      <w:r w:rsidR="00BE0064" w:rsidRPr="00E535A6">
        <w:rPr>
          <w:szCs w:val="22"/>
        </w:rPr>
        <w:t xml:space="preserve">, </w:t>
      </w:r>
      <w:r>
        <w:rPr>
          <w:szCs w:val="22"/>
        </w:rPr>
        <w:t>so the IAB UE node must also have LTE receiver functionality.</w:t>
      </w:r>
      <w:r w:rsidRPr="00E535A6">
        <w:rPr>
          <w:szCs w:val="22"/>
        </w:rPr>
        <w:t xml:space="preserve"> </w:t>
      </w:r>
      <w:r>
        <w:rPr>
          <w:szCs w:val="22"/>
        </w:rPr>
        <w:t xml:space="preserve">In addition, </w:t>
      </w:r>
      <w:r w:rsidR="00BE0064" w:rsidRPr="00E535A6">
        <w:rPr>
          <w:szCs w:val="22"/>
        </w:rPr>
        <w:t xml:space="preserve">there is no need to support IDLE mode operation </w:t>
      </w:r>
      <w:r>
        <w:rPr>
          <w:szCs w:val="22"/>
        </w:rPr>
        <w:t>i</w:t>
      </w:r>
      <w:r w:rsidR="0099602E">
        <w:rPr>
          <w:szCs w:val="22"/>
        </w:rPr>
        <w:t xml:space="preserve">n the relay </w:t>
      </w:r>
      <w:r>
        <w:rPr>
          <w:szCs w:val="22"/>
        </w:rPr>
        <w:t>UE</w:t>
      </w:r>
      <w:r w:rsidR="0099602E">
        <w:rPr>
          <w:szCs w:val="22"/>
        </w:rPr>
        <w:t xml:space="preserve"> part of the IAB</w:t>
      </w:r>
      <w:r>
        <w:rPr>
          <w:szCs w:val="22"/>
        </w:rPr>
        <w:t xml:space="preserve"> </w:t>
      </w:r>
      <w:r w:rsidR="0099602E">
        <w:rPr>
          <w:szCs w:val="22"/>
        </w:rPr>
        <w:t>nodes</w:t>
      </w:r>
      <w:r w:rsidR="00BE0064" w:rsidRPr="00E535A6">
        <w:rPr>
          <w:szCs w:val="22"/>
        </w:rPr>
        <w:t xml:space="preserve">. </w:t>
      </w:r>
      <w:r w:rsidR="00BE0064">
        <w:rPr>
          <w:szCs w:val="22"/>
        </w:rPr>
        <w:t>This can be much more efficient than if a SA architecture is required for IAB nodes where</w:t>
      </w:r>
      <w:r w:rsidR="00BE0064" w:rsidRPr="00E535A6">
        <w:rPr>
          <w:szCs w:val="22"/>
        </w:rPr>
        <w:t xml:space="preserve"> system information broadcast, paging, and other IDLE mode transmissions </w:t>
      </w:r>
      <w:r w:rsidR="00BE0064">
        <w:rPr>
          <w:szCs w:val="22"/>
        </w:rPr>
        <w:t>are required</w:t>
      </w:r>
      <w:r w:rsidR="00BE0064" w:rsidRPr="00E535A6">
        <w:rPr>
          <w:szCs w:val="22"/>
        </w:rPr>
        <w:t>, thus reducing the overall overhead required to support multiplexing of access and backhaul traffic.</w:t>
      </w:r>
    </w:p>
    <w:p w14:paraId="25C9BEF3" w14:textId="2A42DC71" w:rsidR="00270269" w:rsidRPr="00BE0064" w:rsidRDefault="00270269" w:rsidP="00270269">
      <w:pPr>
        <w:spacing w:after="0"/>
        <w:jc w:val="both"/>
        <w:rPr>
          <w:b/>
          <w:szCs w:val="22"/>
        </w:rPr>
      </w:pPr>
      <w:r>
        <w:rPr>
          <w:b/>
          <w:szCs w:val="22"/>
        </w:rPr>
        <w:t>Observation 1: NSA support for IAB nodes can provide benefits of efficient and robust initial access and relay configuration</w:t>
      </w:r>
      <w:r w:rsidR="004364CC">
        <w:rPr>
          <w:b/>
          <w:szCs w:val="22"/>
        </w:rPr>
        <w:t xml:space="preserve"> via signaling provided by the LTE MCG</w:t>
      </w:r>
      <w:r>
        <w:rPr>
          <w:b/>
          <w:szCs w:val="22"/>
        </w:rPr>
        <w:t>.</w:t>
      </w:r>
    </w:p>
    <w:p w14:paraId="353D6F91" w14:textId="77777777" w:rsidR="00D76B79" w:rsidRPr="00A33C8C" w:rsidRDefault="00D76B79" w:rsidP="00D76B79"/>
    <w:p w14:paraId="10EDE8B8" w14:textId="70169436" w:rsidR="00D76B79" w:rsidRPr="00D71D00" w:rsidRDefault="00D76B79" w:rsidP="00270269">
      <w:pPr>
        <w:pStyle w:val="Heading2"/>
      </w:pPr>
      <w:r w:rsidRPr="00D71D00">
        <w:lastRenderedPageBreak/>
        <w:t>Topology Management</w:t>
      </w:r>
    </w:p>
    <w:p w14:paraId="1205828F" w14:textId="6B756BDD" w:rsidR="00D76B79" w:rsidRDefault="00D76B79" w:rsidP="00270269">
      <w:pPr>
        <w:jc w:val="both"/>
        <w:rPr>
          <w:szCs w:val="22"/>
        </w:rPr>
      </w:pPr>
      <w:r>
        <w:rPr>
          <w:szCs w:val="22"/>
        </w:rPr>
        <w:t xml:space="preserve">In order to support multi-hop relaying between one or more IAB nodes as well as multi-connectivity and redundant connectivity the IAB nodes need to exchange routing information/tables indicating routes for access/backhaul traffic across one or more relay link hops. If this is performed on the NR backhaul links, there will be latency in exchanging messages across multiple hops. This is both due to the need to multiplex control transmissions (providing topology management related messaged) with access traffic as well as the latency incurred in sending out these messages which need to propagate over multiple hops before it can be confirmed. </w:t>
      </w:r>
    </w:p>
    <w:p w14:paraId="786E65C3" w14:textId="7293986E" w:rsidR="00D76B79" w:rsidRDefault="00D76B79" w:rsidP="00270269">
      <w:pPr>
        <w:jc w:val="both"/>
        <w:rPr>
          <w:szCs w:val="22"/>
        </w:rPr>
      </w:pPr>
      <w:r>
        <w:rPr>
          <w:szCs w:val="22"/>
        </w:rPr>
        <w:t>Instead</w:t>
      </w:r>
      <w:r w:rsidR="00270269">
        <w:rPr>
          <w:szCs w:val="22"/>
        </w:rPr>
        <w:t>, in the case of NSA IAB node operation,</w:t>
      </w:r>
      <w:r>
        <w:rPr>
          <w:szCs w:val="22"/>
        </w:rPr>
        <w:t xml:space="preserve"> if topology adaptation messages can be provided </w:t>
      </w:r>
      <w:r w:rsidRPr="0099602E">
        <w:rPr>
          <w:szCs w:val="22"/>
        </w:rPr>
        <w:t xml:space="preserve">over </w:t>
      </w:r>
      <w:r w:rsidR="0099602E" w:rsidRPr="00387632">
        <w:rPr>
          <w:szCs w:val="22"/>
        </w:rPr>
        <w:t>the</w:t>
      </w:r>
      <w:r w:rsidR="00270269" w:rsidRPr="0099602E">
        <w:rPr>
          <w:szCs w:val="22"/>
        </w:rPr>
        <w:t xml:space="preserve"> LTE</w:t>
      </w:r>
      <w:r w:rsidR="0099602E" w:rsidRPr="00387632">
        <w:rPr>
          <w:szCs w:val="22"/>
        </w:rPr>
        <w:t xml:space="preserve"> MCG link</w:t>
      </w:r>
      <w:r w:rsidR="00270269" w:rsidRPr="0099602E">
        <w:rPr>
          <w:szCs w:val="22"/>
        </w:rPr>
        <w:t>,</w:t>
      </w:r>
      <w:r w:rsidRPr="0099602E">
        <w:rPr>
          <w:szCs w:val="22"/>
        </w:rPr>
        <w:t xml:space="preserve"> they</w:t>
      </w:r>
      <w:r>
        <w:rPr>
          <w:szCs w:val="22"/>
        </w:rPr>
        <w:t xml:space="preserve"> can be quickly aggregated by a centralized entity since they are only need to traverse a single hop (</w:t>
      </w:r>
      <w:r w:rsidR="00270269">
        <w:rPr>
          <w:szCs w:val="22"/>
        </w:rPr>
        <w:t>e.g. the MCG link</w:t>
      </w:r>
      <w:r>
        <w:rPr>
          <w:szCs w:val="22"/>
        </w:rPr>
        <w:t xml:space="preserve">). The </w:t>
      </w:r>
      <w:r w:rsidR="00270269">
        <w:rPr>
          <w:szCs w:val="22"/>
        </w:rPr>
        <w:t>topology</w:t>
      </w:r>
      <w:r>
        <w:rPr>
          <w:szCs w:val="22"/>
        </w:rPr>
        <w:t xml:space="preserve"> management </w:t>
      </w:r>
      <w:r w:rsidR="00270269">
        <w:rPr>
          <w:szCs w:val="22"/>
        </w:rPr>
        <w:t>signaling</w:t>
      </w:r>
      <w:r>
        <w:rPr>
          <w:szCs w:val="22"/>
        </w:rPr>
        <w:t xml:space="preserve"> may i</w:t>
      </w:r>
      <w:r w:rsidR="00270269">
        <w:rPr>
          <w:szCs w:val="22"/>
        </w:rPr>
        <w:t xml:space="preserve">nclude initial </w:t>
      </w:r>
      <w:r>
        <w:rPr>
          <w:szCs w:val="22"/>
        </w:rPr>
        <w:t>topology setup</w:t>
      </w:r>
      <w:r w:rsidR="00270269">
        <w:rPr>
          <w:szCs w:val="22"/>
        </w:rPr>
        <w:t xml:space="preserve"> as well as subsequent</w:t>
      </w:r>
      <w:r>
        <w:rPr>
          <w:szCs w:val="22"/>
        </w:rPr>
        <w:t xml:space="preserve"> change</w:t>
      </w:r>
      <w:r w:rsidR="00270269">
        <w:rPr>
          <w:szCs w:val="22"/>
        </w:rPr>
        <w:t>s.</w:t>
      </w:r>
    </w:p>
    <w:p w14:paraId="7BCEEEFE" w14:textId="7426711B" w:rsidR="00270269" w:rsidRPr="00BE0064" w:rsidRDefault="00270269" w:rsidP="00270269">
      <w:pPr>
        <w:spacing w:after="0"/>
        <w:jc w:val="both"/>
        <w:rPr>
          <w:b/>
          <w:szCs w:val="22"/>
        </w:rPr>
      </w:pPr>
      <w:r>
        <w:rPr>
          <w:b/>
          <w:szCs w:val="22"/>
        </w:rPr>
        <w:t xml:space="preserve">Observation 2: NSA support for IAB nodes can provide the benefit of efficient topology setup and adaptation with lower latency </w:t>
      </w:r>
      <w:r w:rsidR="007A7E45">
        <w:rPr>
          <w:b/>
          <w:szCs w:val="22"/>
        </w:rPr>
        <w:t xml:space="preserve">via the LTE MCG link </w:t>
      </w:r>
      <w:r>
        <w:rPr>
          <w:b/>
          <w:szCs w:val="22"/>
        </w:rPr>
        <w:t>than if the signaling is carried over multiple-hop backhaul links.</w:t>
      </w:r>
    </w:p>
    <w:p w14:paraId="668F1C13" w14:textId="77777777" w:rsidR="00D76B79" w:rsidRPr="00D71D00" w:rsidRDefault="00D76B79" w:rsidP="00D76B79">
      <w:pPr>
        <w:rPr>
          <w:szCs w:val="22"/>
        </w:rPr>
      </w:pPr>
    </w:p>
    <w:p w14:paraId="1B34EA95" w14:textId="379C1E61" w:rsidR="00D76B79" w:rsidRPr="00D71D00" w:rsidRDefault="00270269" w:rsidP="00270269">
      <w:pPr>
        <w:pStyle w:val="Heading2"/>
      </w:pPr>
      <w:r>
        <w:t>Route Selection</w:t>
      </w:r>
    </w:p>
    <w:p w14:paraId="300110C8" w14:textId="529B6A62" w:rsidR="00D76B79" w:rsidRDefault="00D76B79" w:rsidP="00270269">
      <w:pPr>
        <w:jc w:val="both"/>
        <w:rPr>
          <w:szCs w:val="22"/>
        </w:rPr>
      </w:pPr>
      <w:r>
        <w:rPr>
          <w:szCs w:val="22"/>
        </w:rPr>
        <w:t xml:space="preserve">In addition, in order to perform route selection, </w:t>
      </w:r>
      <w:r w:rsidR="00270269">
        <w:rPr>
          <w:szCs w:val="22"/>
        </w:rPr>
        <w:t xml:space="preserve">it may be beneficial that </w:t>
      </w:r>
      <w:r>
        <w:rPr>
          <w:szCs w:val="22"/>
        </w:rPr>
        <w:t xml:space="preserve">measurements of NR backhaul link quality along with other metrics (e.g. traffic load, latency, etc.) </w:t>
      </w:r>
      <w:r w:rsidR="00270269">
        <w:rPr>
          <w:szCs w:val="22"/>
        </w:rPr>
        <w:t>are</w:t>
      </w:r>
      <w:r>
        <w:rPr>
          <w:szCs w:val="22"/>
        </w:rPr>
        <w:t xml:space="preserve"> exchanged across the backhaul network topology. However, under a NSA architecture, the configuration, triggering, and exchange of CSI/RRM </w:t>
      </w:r>
      <w:r w:rsidRPr="00D71D00">
        <w:rPr>
          <w:szCs w:val="22"/>
        </w:rPr>
        <w:t xml:space="preserve">measurements for route </w:t>
      </w:r>
      <w:r w:rsidR="00270269">
        <w:rPr>
          <w:szCs w:val="22"/>
        </w:rPr>
        <w:t>selection</w:t>
      </w:r>
      <w:r>
        <w:rPr>
          <w:szCs w:val="22"/>
        </w:rPr>
        <w:t xml:space="preserve"> can be provided over the </w:t>
      </w:r>
      <w:r w:rsidR="00270269">
        <w:rPr>
          <w:szCs w:val="22"/>
        </w:rPr>
        <w:t>LTE MCG link</w:t>
      </w:r>
      <w:r>
        <w:rPr>
          <w:szCs w:val="22"/>
        </w:rPr>
        <w:t xml:space="preserve"> instead of over the NR backhaul links</w:t>
      </w:r>
      <w:r w:rsidRPr="00D71D00">
        <w:rPr>
          <w:szCs w:val="22"/>
        </w:rPr>
        <w:t>.</w:t>
      </w:r>
      <w:r>
        <w:rPr>
          <w:szCs w:val="22"/>
        </w:rPr>
        <w:t xml:space="preserve"> </w:t>
      </w:r>
      <w:r w:rsidR="00270269">
        <w:rPr>
          <w:szCs w:val="22"/>
        </w:rPr>
        <w:t xml:space="preserve">This can </w:t>
      </w:r>
      <w:r>
        <w:rPr>
          <w:szCs w:val="22"/>
        </w:rPr>
        <w:t xml:space="preserve">reduce the overhead of such </w:t>
      </w:r>
      <w:r w:rsidR="00270269">
        <w:rPr>
          <w:szCs w:val="22"/>
        </w:rPr>
        <w:t>signaling</w:t>
      </w:r>
      <w:r>
        <w:rPr>
          <w:szCs w:val="22"/>
        </w:rPr>
        <w:t>, as well as enable global aggregation of measurements across multiple hop orders at a centralized entity</w:t>
      </w:r>
      <w:r w:rsidR="00270269">
        <w:rPr>
          <w:szCs w:val="22"/>
        </w:rPr>
        <w:t>.</w:t>
      </w:r>
      <w:r>
        <w:rPr>
          <w:szCs w:val="22"/>
        </w:rPr>
        <w:t xml:space="preserve"> These measurement exchanges may be part of the normal access UE measurement and reporting framework or may </w:t>
      </w:r>
      <w:r w:rsidR="00485C14">
        <w:rPr>
          <w:szCs w:val="22"/>
        </w:rPr>
        <w:t>involve new and optimized procedures solely for</w:t>
      </w:r>
      <w:r>
        <w:rPr>
          <w:szCs w:val="22"/>
        </w:rPr>
        <w:t xml:space="preserve"> IAB nodes with independent configuration of measurement and reporting parameters to support multi-hop measurement aggregation and events</w:t>
      </w:r>
      <w:r w:rsidR="00485C14">
        <w:rPr>
          <w:szCs w:val="22"/>
        </w:rPr>
        <w:t xml:space="preserve"> which also support mechanisms for </w:t>
      </w:r>
      <w:r>
        <w:rPr>
          <w:szCs w:val="22"/>
        </w:rPr>
        <w:t xml:space="preserve">fast reconfiguration of </w:t>
      </w:r>
      <w:r w:rsidR="00485C14">
        <w:rPr>
          <w:szCs w:val="22"/>
        </w:rPr>
        <w:t>routes in case of blockage events or load fluctuations</w:t>
      </w:r>
      <w:r>
        <w:rPr>
          <w:szCs w:val="22"/>
        </w:rPr>
        <w:t>.</w:t>
      </w:r>
    </w:p>
    <w:p w14:paraId="5CFD6B7F" w14:textId="17BF8814" w:rsidR="00485C14" w:rsidRDefault="00485C14" w:rsidP="00485C14">
      <w:pPr>
        <w:spacing w:after="0"/>
        <w:jc w:val="both"/>
        <w:rPr>
          <w:b/>
          <w:szCs w:val="22"/>
        </w:rPr>
      </w:pPr>
      <w:r>
        <w:rPr>
          <w:b/>
          <w:szCs w:val="22"/>
        </w:rPr>
        <w:t xml:space="preserve">Observation 3: NSA support for IAB nodes can provide the benefit of efficient </w:t>
      </w:r>
      <w:r w:rsidRPr="00485C14">
        <w:rPr>
          <w:b/>
          <w:szCs w:val="22"/>
        </w:rPr>
        <w:t xml:space="preserve">configuration, triggering, and exchange of CSI/RRM measurements </w:t>
      </w:r>
      <w:r>
        <w:rPr>
          <w:b/>
          <w:szCs w:val="22"/>
        </w:rPr>
        <w:t>and other metrics as well as aggregation of such measurements for optimized route selection mechanisms</w:t>
      </w:r>
      <w:r w:rsidRPr="00485C14">
        <w:rPr>
          <w:b/>
          <w:szCs w:val="22"/>
        </w:rPr>
        <w:t>.</w:t>
      </w:r>
    </w:p>
    <w:p w14:paraId="4E33E42C" w14:textId="77777777" w:rsidR="000E1C7E" w:rsidRDefault="000E1C7E" w:rsidP="00485C14">
      <w:pPr>
        <w:spacing w:after="0"/>
        <w:jc w:val="both"/>
        <w:rPr>
          <w:b/>
          <w:szCs w:val="22"/>
        </w:rPr>
      </w:pPr>
    </w:p>
    <w:p w14:paraId="7352B0DF" w14:textId="77777777" w:rsidR="000E1C7E" w:rsidRPr="008226E4" w:rsidRDefault="000E1C7E" w:rsidP="000E1C7E">
      <w:pPr>
        <w:jc w:val="both"/>
        <w:rPr>
          <w:lang w:val="en-GB"/>
        </w:rPr>
      </w:pPr>
      <w:r>
        <w:rPr>
          <w:lang w:val="en-GB"/>
        </w:rPr>
        <w:t>As a result of the above observations the following proposal is made:</w:t>
      </w:r>
    </w:p>
    <w:p w14:paraId="465850F3" w14:textId="1FE3DD7B" w:rsidR="000E1C7E" w:rsidRPr="00D76B79" w:rsidRDefault="000E1C7E" w:rsidP="000E1C7E">
      <w:pPr>
        <w:jc w:val="both"/>
        <w:rPr>
          <w:b/>
          <w:lang w:val="en-GB"/>
        </w:rPr>
      </w:pPr>
      <w:r w:rsidRPr="00D76B79">
        <w:rPr>
          <w:b/>
          <w:bCs/>
        </w:rPr>
        <w:t xml:space="preserve">Proposal </w:t>
      </w:r>
      <w:r w:rsidR="002C1A6B">
        <w:rPr>
          <w:b/>
          <w:bCs/>
        </w:rPr>
        <w:t>1</w:t>
      </w:r>
      <w:r w:rsidRPr="00D76B79">
        <w:rPr>
          <w:b/>
        </w:rPr>
        <w:t xml:space="preserve">: </w:t>
      </w:r>
      <w:r>
        <w:rPr>
          <w:b/>
        </w:rPr>
        <w:t>Capture observations 1-3 into TR 38.874 and further study signaling optimizations for NSA IAB nodes to enable efficient IAB node discovery and configuration, topology management, route selection, and resource allocation.</w:t>
      </w:r>
    </w:p>
    <w:p w14:paraId="56CC3679" w14:textId="77777777" w:rsidR="000E1C7E" w:rsidRDefault="000E1C7E" w:rsidP="00485C14">
      <w:pPr>
        <w:spacing w:after="0"/>
        <w:jc w:val="both"/>
        <w:rPr>
          <w:b/>
          <w:szCs w:val="22"/>
        </w:rPr>
      </w:pPr>
    </w:p>
    <w:p w14:paraId="6C094FC5" w14:textId="77777777" w:rsidR="007F188C" w:rsidRDefault="007F188C" w:rsidP="00485C14">
      <w:pPr>
        <w:spacing w:after="0"/>
        <w:jc w:val="both"/>
        <w:rPr>
          <w:b/>
          <w:szCs w:val="22"/>
        </w:rPr>
      </w:pPr>
    </w:p>
    <w:p w14:paraId="3C463672" w14:textId="77777777" w:rsidR="007F188C" w:rsidRDefault="007F188C" w:rsidP="00485C14">
      <w:pPr>
        <w:spacing w:after="0"/>
        <w:jc w:val="both"/>
        <w:rPr>
          <w:b/>
          <w:szCs w:val="22"/>
        </w:rPr>
      </w:pPr>
    </w:p>
    <w:p w14:paraId="6CA3933F" w14:textId="77777777" w:rsidR="007F188C" w:rsidRDefault="007F188C" w:rsidP="00485C14">
      <w:pPr>
        <w:spacing w:after="0"/>
        <w:jc w:val="both"/>
        <w:rPr>
          <w:b/>
          <w:szCs w:val="22"/>
        </w:rPr>
      </w:pPr>
    </w:p>
    <w:p w14:paraId="5A54BDF0" w14:textId="77777777" w:rsidR="007F188C" w:rsidRDefault="007F188C" w:rsidP="00485C14">
      <w:pPr>
        <w:spacing w:after="0"/>
        <w:jc w:val="both"/>
        <w:rPr>
          <w:b/>
          <w:szCs w:val="22"/>
        </w:rPr>
      </w:pPr>
    </w:p>
    <w:p w14:paraId="00078951" w14:textId="77777777" w:rsidR="007F188C" w:rsidRPr="00BE0064" w:rsidRDefault="007F188C" w:rsidP="00485C14">
      <w:pPr>
        <w:spacing w:after="0"/>
        <w:jc w:val="both"/>
        <w:rPr>
          <w:b/>
          <w:szCs w:val="22"/>
        </w:rPr>
      </w:pPr>
    </w:p>
    <w:p w14:paraId="70C82586" w14:textId="6A5BE23B" w:rsidR="008D04DC" w:rsidRDefault="007C3145" w:rsidP="008D04DC">
      <w:pPr>
        <w:pStyle w:val="Heading1"/>
      </w:pPr>
      <w:r>
        <w:lastRenderedPageBreak/>
        <w:t>Conclusion</w:t>
      </w:r>
    </w:p>
    <w:p w14:paraId="3350F057" w14:textId="64A7C5D1"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A16A36">
        <w:rPr>
          <w:lang w:val="en-GB"/>
        </w:rPr>
        <w:t>aspects of IAB oper</w:t>
      </w:r>
      <w:r w:rsidR="00D76B79">
        <w:rPr>
          <w:lang w:val="en-GB"/>
        </w:rPr>
        <w:t xml:space="preserve">ation in NSA and SA deployments. </w:t>
      </w:r>
      <w:r w:rsidR="002C1A6B">
        <w:rPr>
          <w:lang w:val="en-GB"/>
        </w:rPr>
        <w:t>W</w:t>
      </w:r>
      <w:r w:rsidR="00D76B79">
        <w:rPr>
          <w:lang w:val="en-GB"/>
        </w:rPr>
        <w:t xml:space="preserve">e identify benefits of NSA support for both access UEs and IAB nodes such as </w:t>
      </w:r>
      <w:r w:rsidR="00D76B79" w:rsidRPr="00D76B79">
        <w:rPr>
          <w:lang w:val="en-GB"/>
        </w:rPr>
        <w:t xml:space="preserve">seamless integration of </w:t>
      </w:r>
      <w:r w:rsidR="00D76B79">
        <w:rPr>
          <w:lang w:val="en-GB"/>
        </w:rPr>
        <w:t>IAB</w:t>
      </w:r>
      <w:r w:rsidR="00D76B79" w:rsidRPr="00D76B79">
        <w:rPr>
          <w:lang w:val="en-GB"/>
        </w:rPr>
        <w:t xml:space="preserve"> nodes </w:t>
      </w:r>
      <w:r w:rsidR="00D76B79">
        <w:rPr>
          <w:lang w:val="en-GB"/>
        </w:rPr>
        <w:t>in early NR deployments, along with increased</w:t>
      </w:r>
      <w:r w:rsidR="00D76B79" w:rsidRPr="00D76B79">
        <w:rPr>
          <w:lang w:val="en-GB"/>
        </w:rPr>
        <w:t xml:space="preserve"> robustness, reduced overhead, and global topology management functionalities</w:t>
      </w:r>
      <w:r w:rsidR="00BE0064">
        <w:rPr>
          <w:lang w:val="en-GB"/>
        </w:rPr>
        <w:t>:</w:t>
      </w:r>
    </w:p>
    <w:p w14:paraId="77282024" w14:textId="1841CE5A" w:rsidR="00485C14" w:rsidRPr="00BE0064" w:rsidRDefault="00485C14" w:rsidP="00485C14">
      <w:pPr>
        <w:spacing w:after="0"/>
        <w:jc w:val="both"/>
        <w:rPr>
          <w:b/>
          <w:szCs w:val="22"/>
        </w:rPr>
      </w:pPr>
      <w:r>
        <w:rPr>
          <w:b/>
          <w:szCs w:val="22"/>
        </w:rPr>
        <w:t>Observation 1: NSA support for IAB nodes can provide benefits of efficient and robust initial access and relay configuration</w:t>
      </w:r>
      <w:r w:rsidR="004364CC">
        <w:rPr>
          <w:b/>
          <w:szCs w:val="22"/>
        </w:rPr>
        <w:t xml:space="preserve"> via signaling provided by the LTE MCG</w:t>
      </w:r>
      <w:r>
        <w:rPr>
          <w:b/>
          <w:szCs w:val="22"/>
        </w:rPr>
        <w:t>.</w:t>
      </w:r>
    </w:p>
    <w:p w14:paraId="5965F89E" w14:textId="77777777" w:rsidR="00485C14" w:rsidRDefault="00485C14" w:rsidP="00485C14">
      <w:pPr>
        <w:spacing w:after="0"/>
        <w:jc w:val="both"/>
        <w:rPr>
          <w:b/>
          <w:szCs w:val="22"/>
        </w:rPr>
      </w:pPr>
    </w:p>
    <w:p w14:paraId="3B7752A6" w14:textId="77777777" w:rsidR="00485C14" w:rsidRPr="00BE0064" w:rsidRDefault="00485C14" w:rsidP="00485C14">
      <w:pPr>
        <w:spacing w:after="0"/>
        <w:jc w:val="both"/>
        <w:rPr>
          <w:b/>
          <w:szCs w:val="22"/>
        </w:rPr>
      </w:pPr>
      <w:r>
        <w:rPr>
          <w:b/>
          <w:szCs w:val="22"/>
        </w:rPr>
        <w:t>Observation 2: NSA support for IAB nodes can provide the benefit of efficient topology setup and adaptation with lower latency than if the signaling is carried over multiple-hop backhaul links.</w:t>
      </w:r>
    </w:p>
    <w:p w14:paraId="6BAA8A36" w14:textId="77777777" w:rsidR="00485C14" w:rsidRDefault="00485C14" w:rsidP="00485C14">
      <w:pPr>
        <w:spacing w:after="0"/>
        <w:jc w:val="both"/>
        <w:rPr>
          <w:b/>
          <w:szCs w:val="22"/>
        </w:rPr>
      </w:pPr>
    </w:p>
    <w:p w14:paraId="61303E49" w14:textId="77777777" w:rsidR="00485C14" w:rsidRDefault="00485C14" w:rsidP="00485C14">
      <w:pPr>
        <w:spacing w:after="0"/>
        <w:jc w:val="both"/>
        <w:rPr>
          <w:b/>
          <w:szCs w:val="22"/>
        </w:rPr>
      </w:pPr>
      <w:r>
        <w:rPr>
          <w:b/>
          <w:szCs w:val="22"/>
        </w:rPr>
        <w:t xml:space="preserve">Observation 3: NSA support for IAB nodes can provide the benefit of efficient </w:t>
      </w:r>
      <w:r w:rsidRPr="00485C14">
        <w:rPr>
          <w:b/>
          <w:szCs w:val="22"/>
        </w:rPr>
        <w:t xml:space="preserve">configuration, triggering, and exchange of CSI/RRM measurements </w:t>
      </w:r>
      <w:r>
        <w:rPr>
          <w:b/>
          <w:szCs w:val="22"/>
        </w:rPr>
        <w:t>and other metrics as well as aggregation of such measurements for optimized route selection mechanisms</w:t>
      </w:r>
      <w:r w:rsidRPr="00485C14">
        <w:rPr>
          <w:b/>
          <w:szCs w:val="22"/>
        </w:rPr>
        <w:t>.</w:t>
      </w:r>
    </w:p>
    <w:p w14:paraId="1834E3AE" w14:textId="77777777" w:rsidR="000E1C7E" w:rsidRPr="00BE0064" w:rsidRDefault="000E1C7E" w:rsidP="00485C14">
      <w:pPr>
        <w:spacing w:after="0"/>
        <w:jc w:val="both"/>
        <w:rPr>
          <w:b/>
          <w:szCs w:val="22"/>
        </w:rPr>
      </w:pPr>
    </w:p>
    <w:p w14:paraId="5D3F33F4" w14:textId="5A75CF4C" w:rsidR="00F35C83" w:rsidRPr="008226E4" w:rsidRDefault="00BE0064" w:rsidP="00A16A36">
      <w:pPr>
        <w:jc w:val="both"/>
        <w:rPr>
          <w:lang w:val="en-GB"/>
        </w:rPr>
      </w:pPr>
      <w:r>
        <w:rPr>
          <w:lang w:val="en-GB"/>
        </w:rPr>
        <w:t>As a result of the above observations the following proposal</w:t>
      </w:r>
      <w:r w:rsidR="00A16A36">
        <w:rPr>
          <w:lang w:val="en-GB"/>
        </w:rPr>
        <w:t xml:space="preserve"> </w:t>
      </w:r>
      <w:r>
        <w:rPr>
          <w:lang w:val="en-GB"/>
        </w:rPr>
        <w:t xml:space="preserve">is </w:t>
      </w:r>
      <w:r w:rsidR="00A16A36">
        <w:rPr>
          <w:lang w:val="en-GB"/>
        </w:rPr>
        <w:t>made</w:t>
      </w:r>
      <w:r w:rsidR="00EF3B5D">
        <w:rPr>
          <w:lang w:val="en-GB"/>
        </w:rPr>
        <w:t>:</w:t>
      </w:r>
    </w:p>
    <w:p w14:paraId="47C6A008" w14:textId="6B68B2D7" w:rsidR="00BE0064" w:rsidRDefault="00BE0064" w:rsidP="00BE0064">
      <w:pPr>
        <w:jc w:val="both"/>
        <w:rPr>
          <w:b/>
        </w:rPr>
      </w:pPr>
      <w:r w:rsidRPr="00D76B79">
        <w:rPr>
          <w:b/>
          <w:bCs/>
        </w:rPr>
        <w:t xml:space="preserve">Proposal </w:t>
      </w:r>
      <w:r w:rsidR="002C1A6B">
        <w:rPr>
          <w:b/>
          <w:bCs/>
        </w:rPr>
        <w:t>1</w:t>
      </w:r>
      <w:r w:rsidRPr="00D76B79">
        <w:rPr>
          <w:b/>
        </w:rPr>
        <w:t xml:space="preserve">: </w:t>
      </w:r>
      <w:r w:rsidR="002B5FD7">
        <w:rPr>
          <w:b/>
        </w:rPr>
        <w:t>Capture observations 1-3 into TR 38.874 and f</w:t>
      </w:r>
      <w:r>
        <w:rPr>
          <w:b/>
        </w:rPr>
        <w:t>urther study signaling optimizations for NSA IAB nodes to enable efficient IAB node discovery and configuration, topology management, route selection, and resource allocation.</w:t>
      </w:r>
    </w:p>
    <w:p w14:paraId="2419E98F" w14:textId="77777777" w:rsidR="000E1C7E" w:rsidRPr="00D76B79" w:rsidRDefault="000E1C7E" w:rsidP="00BE0064">
      <w:pPr>
        <w:jc w:val="both"/>
        <w:rPr>
          <w:b/>
          <w:lang w:val="en-GB"/>
        </w:rPr>
      </w:pPr>
    </w:p>
    <w:p w14:paraId="3C099C76" w14:textId="7DA372BD" w:rsidR="00AF2C72" w:rsidRPr="006B13A0" w:rsidRDefault="00AF2C72" w:rsidP="006B13A0">
      <w:pPr>
        <w:pStyle w:val="Heading1"/>
      </w:pPr>
      <w:r>
        <w:t>Reference</w:t>
      </w:r>
    </w:p>
    <w:p w14:paraId="2126413A" w14:textId="5CCA371A" w:rsidR="00B71D00" w:rsidRDefault="0064521D" w:rsidP="00B71D00">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6C2A44D6" w14:textId="77777777" w:rsidR="00B71D00" w:rsidRDefault="00B71D00" w:rsidP="00B71D00">
      <w:pPr>
        <w:pStyle w:val="2222"/>
        <w:numPr>
          <w:ilvl w:val="0"/>
          <w:numId w:val="36"/>
        </w:numPr>
        <w:spacing w:after="120" w:line="288" w:lineRule="auto"/>
        <w:ind w:left="360" w:firstLineChars="0"/>
        <w:jc w:val="left"/>
        <w:rPr>
          <w:rFonts w:cs="Times New Roman"/>
          <w:lang w:eastAsia="ko-KR"/>
        </w:rPr>
      </w:pPr>
      <w:r w:rsidRPr="00B71D00">
        <w:rPr>
          <w:rFonts w:cs="Times New Roman"/>
          <w:lang w:eastAsia="ko-KR"/>
        </w:rPr>
        <w:t>TR 38.874 v0.0.2, Study on Integrated Access and Backhaul for NR.</w:t>
      </w:r>
    </w:p>
    <w:p w14:paraId="6D124F2D" w14:textId="1F4E95CC" w:rsidR="00D76B79" w:rsidRDefault="00B71D00" w:rsidP="00D76B79">
      <w:pPr>
        <w:pStyle w:val="2222"/>
        <w:numPr>
          <w:ilvl w:val="0"/>
          <w:numId w:val="36"/>
        </w:numPr>
        <w:spacing w:after="120" w:line="288" w:lineRule="auto"/>
        <w:ind w:left="360" w:firstLineChars="0"/>
        <w:jc w:val="left"/>
      </w:pPr>
      <w:r w:rsidRPr="00B71D00">
        <w:rPr>
          <w:rFonts w:cs="Times New Roman"/>
          <w:lang w:eastAsia="ko-KR"/>
        </w:rPr>
        <w:t>R3-18</w:t>
      </w:r>
      <w:r w:rsidR="00373D8C">
        <w:rPr>
          <w:rFonts w:cs="Times New Roman"/>
          <w:lang w:eastAsia="ko-KR"/>
        </w:rPr>
        <w:t>1345</w:t>
      </w:r>
      <w:r w:rsidRPr="00B71D00">
        <w:rPr>
          <w:rFonts w:cs="Times New Roman"/>
          <w:lang w:eastAsia="ko-KR"/>
        </w:rPr>
        <w:t xml:space="preserve">, L2-based multi-hop architecture to support IAB architecture requirements, AT&amp;T </w:t>
      </w:r>
    </w:p>
    <w:p w14:paraId="5C37298D" w14:textId="51B49953" w:rsidR="00D76B79" w:rsidRPr="00B71D00" w:rsidRDefault="00D76B79" w:rsidP="00D76B79">
      <w:pPr>
        <w:pStyle w:val="2222"/>
        <w:numPr>
          <w:ilvl w:val="0"/>
          <w:numId w:val="36"/>
        </w:numPr>
        <w:spacing w:after="120" w:line="288" w:lineRule="auto"/>
        <w:ind w:left="360" w:firstLineChars="0"/>
        <w:jc w:val="left"/>
      </w:pPr>
      <w:r w:rsidRPr="00D76B79">
        <w:rPr>
          <w:rFonts w:cs="Times New Roman"/>
          <w:lang w:eastAsia="ko-KR"/>
        </w:rPr>
        <w:t>R3-18</w:t>
      </w:r>
      <w:r w:rsidR="00373D8C">
        <w:rPr>
          <w:rFonts w:cs="Times New Roman"/>
          <w:lang w:eastAsia="ko-KR"/>
        </w:rPr>
        <w:t>1347</w:t>
      </w:r>
      <w:r w:rsidRPr="00D76B79">
        <w:rPr>
          <w:rFonts w:cs="Times New Roman"/>
          <w:lang w:eastAsia="ko-KR"/>
        </w:rPr>
        <w:t xml:space="preserve">, Discussion on IAB node discovery and topology/route management, AT&amp;T </w:t>
      </w:r>
    </w:p>
    <w:sectPr w:rsidR="00D76B79" w:rsidRPr="00B71D00"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C1ABE" w14:textId="77777777" w:rsidR="002904EE" w:rsidRDefault="002904EE" w:rsidP="00A03DF3">
      <w:pPr>
        <w:spacing w:after="0"/>
      </w:pPr>
      <w:r>
        <w:separator/>
      </w:r>
    </w:p>
  </w:endnote>
  <w:endnote w:type="continuationSeparator" w:id="0">
    <w:p w14:paraId="3CCC7E67" w14:textId="77777777" w:rsidR="002904EE" w:rsidRDefault="002904E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F000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000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F1908" w14:textId="77777777" w:rsidR="002904EE" w:rsidRDefault="002904EE" w:rsidP="00A03DF3">
      <w:pPr>
        <w:spacing w:after="0"/>
      </w:pPr>
      <w:r>
        <w:separator/>
      </w:r>
    </w:p>
  </w:footnote>
  <w:footnote w:type="continuationSeparator" w:id="0">
    <w:p w14:paraId="6DFE4386" w14:textId="77777777" w:rsidR="002904EE" w:rsidRDefault="002904E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DC396A"/>
    <w:multiLevelType w:val="hybridMultilevel"/>
    <w:tmpl w:val="473C1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D6F7C"/>
    <w:multiLevelType w:val="hybridMultilevel"/>
    <w:tmpl w:val="7E0E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E5F9F"/>
    <w:multiLevelType w:val="hybridMultilevel"/>
    <w:tmpl w:val="4F0CF054"/>
    <w:lvl w:ilvl="0" w:tplc="77962C90">
      <w:start w:val="1"/>
      <w:numFmt w:val="bullet"/>
      <w:lvlText w:val="•"/>
      <w:lvlJc w:val="left"/>
      <w:pPr>
        <w:tabs>
          <w:tab w:val="num" w:pos="720"/>
        </w:tabs>
        <w:ind w:left="720" w:hanging="360"/>
      </w:pPr>
      <w:rPr>
        <w:rFonts w:ascii="Arial" w:hAnsi="Arial" w:hint="default"/>
      </w:rPr>
    </w:lvl>
    <w:lvl w:ilvl="1" w:tplc="EBA493F2">
      <w:start w:val="1"/>
      <w:numFmt w:val="bullet"/>
      <w:lvlText w:val="•"/>
      <w:lvlJc w:val="left"/>
      <w:pPr>
        <w:tabs>
          <w:tab w:val="num" w:pos="1440"/>
        </w:tabs>
        <w:ind w:left="1440" w:hanging="360"/>
      </w:pPr>
      <w:rPr>
        <w:rFonts w:ascii="Arial" w:hAnsi="Arial" w:hint="default"/>
      </w:rPr>
    </w:lvl>
    <w:lvl w:ilvl="2" w:tplc="50CC1FC6">
      <w:start w:val="57"/>
      <w:numFmt w:val="bullet"/>
      <w:lvlText w:val="•"/>
      <w:lvlJc w:val="left"/>
      <w:pPr>
        <w:tabs>
          <w:tab w:val="num" w:pos="2160"/>
        </w:tabs>
        <w:ind w:left="2160" w:hanging="360"/>
      </w:pPr>
      <w:rPr>
        <w:rFonts w:ascii="Arial" w:hAnsi="Arial" w:hint="default"/>
      </w:rPr>
    </w:lvl>
    <w:lvl w:ilvl="3" w:tplc="5BA67D04" w:tentative="1">
      <w:start w:val="1"/>
      <w:numFmt w:val="bullet"/>
      <w:lvlText w:val="•"/>
      <w:lvlJc w:val="left"/>
      <w:pPr>
        <w:tabs>
          <w:tab w:val="num" w:pos="2880"/>
        </w:tabs>
        <w:ind w:left="2880" w:hanging="360"/>
      </w:pPr>
      <w:rPr>
        <w:rFonts w:ascii="Arial" w:hAnsi="Arial" w:hint="default"/>
      </w:rPr>
    </w:lvl>
    <w:lvl w:ilvl="4" w:tplc="954861BA" w:tentative="1">
      <w:start w:val="1"/>
      <w:numFmt w:val="bullet"/>
      <w:lvlText w:val="•"/>
      <w:lvlJc w:val="left"/>
      <w:pPr>
        <w:tabs>
          <w:tab w:val="num" w:pos="3600"/>
        </w:tabs>
        <w:ind w:left="3600" w:hanging="360"/>
      </w:pPr>
      <w:rPr>
        <w:rFonts w:ascii="Arial" w:hAnsi="Arial" w:hint="default"/>
      </w:rPr>
    </w:lvl>
    <w:lvl w:ilvl="5" w:tplc="A512374C" w:tentative="1">
      <w:start w:val="1"/>
      <w:numFmt w:val="bullet"/>
      <w:lvlText w:val="•"/>
      <w:lvlJc w:val="left"/>
      <w:pPr>
        <w:tabs>
          <w:tab w:val="num" w:pos="4320"/>
        </w:tabs>
        <w:ind w:left="4320" w:hanging="360"/>
      </w:pPr>
      <w:rPr>
        <w:rFonts w:ascii="Arial" w:hAnsi="Arial" w:hint="default"/>
      </w:rPr>
    </w:lvl>
    <w:lvl w:ilvl="6" w:tplc="DC5063D8" w:tentative="1">
      <w:start w:val="1"/>
      <w:numFmt w:val="bullet"/>
      <w:lvlText w:val="•"/>
      <w:lvlJc w:val="left"/>
      <w:pPr>
        <w:tabs>
          <w:tab w:val="num" w:pos="5040"/>
        </w:tabs>
        <w:ind w:left="5040" w:hanging="360"/>
      </w:pPr>
      <w:rPr>
        <w:rFonts w:ascii="Arial" w:hAnsi="Arial" w:hint="default"/>
      </w:rPr>
    </w:lvl>
    <w:lvl w:ilvl="7" w:tplc="B75A8FD8" w:tentative="1">
      <w:start w:val="1"/>
      <w:numFmt w:val="bullet"/>
      <w:lvlText w:val="•"/>
      <w:lvlJc w:val="left"/>
      <w:pPr>
        <w:tabs>
          <w:tab w:val="num" w:pos="5760"/>
        </w:tabs>
        <w:ind w:left="5760" w:hanging="360"/>
      </w:pPr>
      <w:rPr>
        <w:rFonts w:ascii="Arial" w:hAnsi="Arial" w:hint="default"/>
      </w:rPr>
    </w:lvl>
    <w:lvl w:ilvl="8" w:tplc="CEDEBB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D9356B"/>
    <w:multiLevelType w:val="hybridMultilevel"/>
    <w:tmpl w:val="21DC5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B416C4"/>
    <w:multiLevelType w:val="hybridMultilevel"/>
    <w:tmpl w:val="03147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A785CDF"/>
    <w:multiLevelType w:val="hybridMultilevel"/>
    <w:tmpl w:val="27045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34DB7"/>
    <w:multiLevelType w:val="hybridMultilevel"/>
    <w:tmpl w:val="426A3CC0"/>
    <w:lvl w:ilvl="0" w:tplc="FE9EC1EE">
      <w:start w:val="1"/>
      <w:numFmt w:val="bullet"/>
      <w:lvlText w:val="•"/>
      <w:lvlJc w:val="left"/>
      <w:pPr>
        <w:tabs>
          <w:tab w:val="num" w:pos="720"/>
        </w:tabs>
        <w:ind w:left="720" w:hanging="360"/>
      </w:pPr>
      <w:rPr>
        <w:rFonts w:ascii="Arial" w:hAnsi="Arial" w:hint="default"/>
      </w:rPr>
    </w:lvl>
    <w:lvl w:ilvl="1" w:tplc="807CA338" w:tentative="1">
      <w:start w:val="1"/>
      <w:numFmt w:val="bullet"/>
      <w:lvlText w:val="•"/>
      <w:lvlJc w:val="left"/>
      <w:pPr>
        <w:tabs>
          <w:tab w:val="num" w:pos="1440"/>
        </w:tabs>
        <w:ind w:left="1440" w:hanging="360"/>
      </w:pPr>
      <w:rPr>
        <w:rFonts w:ascii="Arial" w:hAnsi="Arial" w:hint="default"/>
      </w:rPr>
    </w:lvl>
    <w:lvl w:ilvl="2" w:tplc="16A663DE" w:tentative="1">
      <w:start w:val="1"/>
      <w:numFmt w:val="bullet"/>
      <w:lvlText w:val="•"/>
      <w:lvlJc w:val="left"/>
      <w:pPr>
        <w:tabs>
          <w:tab w:val="num" w:pos="2160"/>
        </w:tabs>
        <w:ind w:left="2160" w:hanging="360"/>
      </w:pPr>
      <w:rPr>
        <w:rFonts w:ascii="Arial" w:hAnsi="Arial" w:hint="default"/>
      </w:rPr>
    </w:lvl>
    <w:lvl w:ilvl="3" w:tplc="CE7AB86A" w:tentative="1">
      <w:start w:val="1"/>
      <w:numFmt w:val="bullet"/>
      <w:lvlText w:val="•"/>
      <w:lvlJc w:val="left"/>
      <w:pPr>
        <w:tabs>
          <w:tab w:val="num" w:pos="2880"/>
        </w:tabs>
        <w:ind w:left="2880" w:hanging="360"/>
      </w:pPr>
      <w:rPr>
        <w:rFonts w:ascii="Arial" w:hAnsi="Arial" w:hint="default"/>
      </w:rPr>
    </w:lvl>
    <w:lvl w:ilvl="4" w:tplc="659A2876" w:tentative="1">
      <w:start w:val="1"/>
      <w:numFmt w:val="bullet"/>
      <w:lvlText w:val="•"/>
      <w:lvlJc w:val="left"/>
      <w:pPr>
        <w:tabs>
          <w:tab w:val="num" w:pos="3600"/>
        </w:tabs>
        <w:ind w:left="3600" w:hanging="360"/>
      </w:pPr>
      <w:rPr>
        <w:rFonts w:ascii="Arial" w:hAnsi="Arial" w:hint="default"/>
      </w:rPr>
    </w:lvl>
    <w:lvl w:ilvl="5" w:tplc="9808DF04" w:tentative="1">
      <w:start w:val="1"/>
      <w:numFmt w:val="bullet"/>
      <w:lvlText w:val="•"/>
      <w:lvlJc w:val="left"/>
      <w:pPr>
        <w:tabs>
          <w:tab w:val="num" w:pos="4320"/>
        </w:tabs>
        <w:ind w:left="4320" w:hanging="360"/>
      </w:pPr>
      <w:rPr>
        <w:rFonts w:ascii="Arial" w:hAnsi="Arial" w:hint="default"/>
      </w:rPr>
    </w:lvl>
    <w:lvl w:ilvl="6" w:tplc="21B464B0" w:tentative="1">
      <w:start w:val="1"/>
      <w:numFmt w:val="bullet"/>
      <w:lvlText w:val="•"/>
      <w:lvlJc w:val="left"/>
      <w:pPr>
        <w:tabs>
          <w:tab w:val="num" w:pos="5040"/>
        </w:tabs>
        <w:ind w:left="5040" w:hanging="360"/>
      </w:pPr>
      <w:rPr>
        <w:rFonts w:ascii="Arial" w:hAnsi="Arial" w:hint="default"/>
      </w:rPr>
    </w:lvl>
    <w:lvl w:ilvl="7" w:tplc="13806622" w:tentative="1">
      <w:start w:val="1"/>
      <w:numFmt w:val="bullet"/>
      <w:lvlText w:val="•"/>
      <w:lvlJc w:val="left"/>
      <w:pPr>
        <w:tabs>
          <w:tab w:val="num" w:pos="5760"/>
        </w:tabs>
        <w:ind w:left="5760" w:hanging="360"/>
      </w:pPr>
      <w:rPr>
        <w:rFonts w:ascii="Arial" w:hAnsi="Arial" w:hint="default"/>
      </w:rPr>
    </w:lvl>
    <w:lvl w:ilvl="8" w:tplc="856853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4007DD"/>
    <w:multiLevelType w:val="hybridMultilevel"/>
    <w:tmpl w:val="8E805746"/>
    <w:lvl w:ilvl="0" w:tplc="6FF22B5A">
      <w:start w:val="1"/>
      <w:numFmt w:val="bullet"/>
      <w:lvlText w:val="•"/>
      <w:lvlJc w:val="left"/>
      <w:pPr>
        <w:tabs>
          <w:tab w:val="num" w:pos="720"/>
        </w:tabs>
        <w:ind w:left="720" w:hanging="360"/>
      </w:pPr>
      <w:rPr>
        <w:rFonts w:ascii="Arial" w:hAnsi="Arial" w:hint="default"/>
      </w:rPr>
    </w:lvl>
    <w:lvl w:ilvl="1" w:tplc="84540A16" w:tentative="1">
      <w:start w:val="1"/>
      <w:numFmt w:val="bullet"/>
      <w:lvlText w:val="•"/>
      <w:lvlJc w:val="left"/>
      <w:pPr>
        <w:tabs>
          <w:tab w:val="num" w:pos="1440"/>
        </w:tabs>
        <w:ind w:left="1440" w:hanging="360"/>
      </w:pPr>
      <w:rPr>
        <w:rFonts w:ascii="Arial" w:hAnsi="Arial" w:hint="default"/>
      </w:rPr>
    </w:lvl>
    <w:lvl w:ilvl="2" w:tplc="3528A334" w:tentative="1">
      <w:start w:val="1"/>
      <w:numFmt w:val="bullet"/>
      <w:lvlText w:val="•"/>
      <w:lvlJc w:val="left"/>
      <w:pPr>
        <w:tabs>
          <w:tab w:val="num" w:pos="2160"/>
        </w:tabs>
        <w:ind w:left="2160" w:hanging="360"/>
      </w:pPr>
      <w:rPr>
        <w:rFonts w:ascii="Arial" w:hAnsi="Arial" w:hint="default"/>
      </w:rPr>
    </w:lvl>
    <w:lvl w:ilvl="3" w:tplc="7298AF58" w:tentative="1">
      <w:start w:val="1"/>
      <w:numFmt w:val="bullet"/>
      <w:lvlText w:val="•"/>
      <w:lvlJc w:val="left"/>
      <w:pPr>
        <w:tabs>
          <w:tab w:val="num" w:pos="2880"/>
        </w:tabs>
        <w:ind w:left="2880" w:hanging="360"/>
      </w:pPr>
      <w:rPr>
        <w:rFonts w:ascii="Arial" w:hAnsi="Arial" w:hint="default"/>
      </w:rPr>
    </w:lvl>
    <w:lvl w:ilvl="4" w:tplc="369420D0" w:tentative="1">
      <w:start w:val="1"/>
      <w:numFmt w:val="bullet"/>
      <w:lvlText w:val="•"/>
      <w:lvlJc w:val="left"/>
      <w:pPr>
        <w:tabs>
          <w:tab w:val="num" w:pos="3600"/>
        </w:tabs>
        <w:ind w:left="3600" w:hanging="360"/>
      </w:pPr>
      <w:rPr>
        <w:rFonts w:ascii="Arial" w:hAnsi="Arial" w:hint="default"/>
      </w:rPr>
    </w:lvl>
    <w:lvl w:ilvl="5" w:tplc="20C6D7FC" w:tentative="1">
      <w:start w:val="1"/>
      <w:numFmt w:val="bullet"/>
      <w:lvlText w:val="•"/>
      <w:lvlJc w:val="left"/>
      <w:pPr>
        <w:tabs>
          <w:tab w:val="num" w:pos="4320"/>
        </w:tabs>
        <w:ind w:left="4320" w:hanging="360"/>
      </w:pPr>
      <w:rPr>
        <w:rFonts w:ascii="Arial" w:hAnsi="Arial" w:hint="default"/>
      </w:rPr>
    </w:lvl>
    <w:lvl w:ilvl="6" w:tplc="9C1E9D98" w:tentative="1">
      <w:start w:val="1"/>
      <w:numFmt w:val="bullet"/>
      <w:lvlText w:val="•"/>
      <w:lvlJc w:val="left"/>
      <w:pPr>
        <w:tabs>
          <w:tab w:val="num" w:pos="5040"/>
        </w:tabs>
        <w:ind w:left="5040" w:hanging="360"/>
      </w:pPr>
      <w:rPr>
        <w:rFonts w:ascii="Arial" w:hAnsi="Arial" w:hint="default"/>
      </w:rPr>
    </w:lvl>
    <w:lvl w:ilvl="7" w:tplc="658ADA5C" w:tentative="1">
      <w:start w:val="1"/>
      <w:numFmt w:val="bullet"/>
      <w:lvlText w:val="•"/>
      <w:lvlJc w:val="left"/>
      <w:pPr>
        <w:tabs>
          <w:tab w:val="num" w:pos="5760"/>
        </w:tabs>
        <w:ind w:left="5760" w:hanging="360"/>
      </w:pPr>
      <w:rPr>
        <w:rFonts w:ascii="Arial" w:hAnsi="Arial" w:hint="default"/>
      </w:rPr>
    </w:lvl>
    <w:lvl w:ilvl="8" w:tplc="A4BC62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8"/>
  </w:num>
  <w:num w:numId="4">
    <w:abstractNumId w:val="5"/>
  </w:num>
  <w:num w:numId="5">
    <w:abstractNumId w:val="17"/>
  </w:num>
  <w:num w:numId="6">
    <w:abstractNumId w:val="7"/>
  </w:num>
  <w:num w:numId="7">
    <w:abstractNumId w:val="47"/>
  </w:num>
  <w:num w:numId="8">
    <w:abstractNumId w:val="27"/>
  </w:num>
  <w:num w:numId="9">
    <w:abstractNumId w:val="38"/>
  </w:num>
  <w:num w:numId="10">
    <w:abstractNumId w:val="3"/>
  </w:num>
  <w:num w:numId="11">
    <w:abstractNumId w:val="10"/>
  </w:num>
  <w:num w:numId="12">
    <w:abstractNumId w:val="37"/>
  </w:num>
  <w:num w:numId="13">
    <w:abstractNumId w:val="13"/>
  </w:num>
  <w:num w:numId="14">
    <w:abstractNumId w:val="23"/>
  </w:num>
  <w:num w:numId="15">
    <w:abstractNumId w:val="26"/>
  </w:num>
  <w:num w:numId="16">
    <w:abstractNumId w:val="39"/>
  </w:num>
  <w:num w:numId="17">
    <w:abstractNumId w:val="45"/>
  </w:num>
  <w:num w:numId="18">
    <w:abstractNumId w:val="1"/>
  </w:num>
  <w:num w:numId="19">
    <w:abstractNumId w:val="4"/>
  </w:num>
  <w:num w:numId="20">
    <w:abstractNumId w:val="36"/>
  </w:num>
  <w:num w:numId="21">
    <w:abstractNumId w:val="22"/>
  </w:num>
  <w:num w:numId="22">
    <w:abstractNumId w:val="25"/>
  </w:num>
  <w:num w:numId="23">
    <w:abstractNumId w:val="34"/>
  </w:num>
  <w:num w:numId="24">
    <w:abstractNumId w:val="29"/>
  </w:num>
  <w:num w:numId="25">
    <w:abstractNumId w:val="21"/>
  </w:num>
  <w:num w:numId="26">
    <w:abstractNumId w:val="46"/>
  </w:num>
  <w:num w:numId="27">
    <w:abstractNumId w:val="9"/>
  </w:num>
  <w:num w:numId="28">
    <w:abstractNumId w:val="44"/>
  </w:num>
  <w:num w:numId="29">
    <w:abstractNumId w:val="35"/>
  </w:num>
  <w:num w:numId="30">
    <w:abstractNumId w:val="6"/>
  </w:num>
  <w:num w:numId="31">
    <w:abstractNumId w:val="30"/>
  </w:num>
  <w:num w:numId="32">
    <w:abstractNumId w:val="32"/>
  </w:num>
  <w:num w:numId="33">
    <w:abstractNumId w:val="43"/>
  </w:num>
  <w:num w:numId="34">
    <w:abstractNumId w:val="42"/>
  </w:num>
  <w:num w:numId="35">
    <w:abstractNumId w:val="1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9"/>
  </w:num>
  <w:num w:numId="39">
    <w:abstractNumId w:val="31"/>
  </w:num>
  <w:num w:numId="40">
    <w:abstractNumId w:val="8"/>
  </w:num>
  <w:num w:numId="41">
    <w:abstractNumId w:val="16"/>
  </w:num>
  <w:num w:numId="42">
    <w:abstractNumId w:val="12"/>
  </w:num>
  <w:num w:numId="43">
    <w:abstractNumId w:val="20"/>
  </w:num>
  <w:num w:numId="44">
    <w:abstractNumId w:val="15"/>
  </w:num>
  <w:num w:numId="45">
    <w:abstractNumId w:val="41"/>
  </w:num>
  <w:num w:numId="46">
    <w:abstractNumId w:val="48"/>
  </w:num>
  <w:num w:numId="47">
    <w:abstractNumId w:val="24"/>
  </w:num>
  <w:num w:numId="48">
    <w:abstractNumId w:val="40"/>
  </w:num>
  <w:num w:numId="49">
    <w:abstractNumId w:val="2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D7FF6"/>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5014"/>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002"/>
    <w:rsid w:val="007F08CC"/>
    <w:rsid w:val="007F1518"/>
    <w:rsid w:val="007F188C"/>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6A36"/>
    <w:rsid w:val="00A17E1C"/>
    <w:rsid w:val="00A22287"/>
    <w:rsid w:val="00A24FFD"/>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2B0F2-B51B-497B-9C32-4B2B0C79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1512</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cp:lastModifiedBy>
  <cp:revision>4</cp:revision>
  <dcterms:created xsi:type="dcterms:W3CDTF">2018-05-11T16:47:00Z</dcterms:created>
  <dcterms:modified xsi:type="dcterms:W3CDTF">2018-05-11T17:32:00Z</dcterms:modified>
</cp:coreProperties>
</file>